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B0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bCs/>
          <w:color w:val="auto"/>
          <w:sz w:val="28"/>
          <w:szCs w:val="28"/>
        </w:rPr>
        <w:t>绿色发展 燕赵答卷——河北省“两山”理念实践案例征集活动启事</w:t>
      </w:r>
    </w:p>
    <w:p w14:paraId="7C2A7A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征集内容</w:t>
      </w:r>
      <w:bookmarkStart w:id="0" w:name="_GoBack"/>
      <w:bookmarkEnd w:id="0"/>
    </w:p>
    <w:p w14:paraId="1ADF5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方向一：</w:t>
      </w:r>
      <w:r>
        <w:rPr>
          <w:rStyle w:val="4"/>
          <w:rFonts w:hint="eastAsia" w:ascii="仿宋" w:hAnsi="仿宋" w:eastAsia="仿宋" w:cs="仿宋"/>
          <w:bCs/>
          <w:color w:val="auto"/>
          <w:sz w:val="28"/>
          <w:szCs w:val="28"/>
        </w:rPr>
        <w:t>绿色低碳转型与生态价值转化</w:t>
      </w:r>
    </w:p>
    <w:p w14:paraId="02220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1.产业生态化重构：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钢铁、石化等传统产业绿色化、循环化、低碳化改造；新兴绿色产业集群培育；矿山公园；盐碱地治理等。</w:t>
      </w:r>
    </w:p>
    <w:p w14:paraId="56114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2.生态产品价值实现机制：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绿色金融、生态补偿、林业碳汇、水权交易等。</w:t>
      </w:r>
    </w:p>
    <w:p w14:paraId="3AAFC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3.城乡绿色协同发展：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“无废城市”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、海绵城市、绿色建筑规模化发展、城乡环境基础设施共建共享等。</w:t>
      </w:r>
    </w:p>
    <w:p w14:paraId="537AE3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4.生态治理现代化：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传统矿山企业绿色转型、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智慧环保监测应用、污染协同治理创新机制、生物多样性保护修复实践等。</w:t>
      </w:r>
    </w:p>
    <w:p w14:paraId="74A78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方向二：</w:t>
      </w: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绿色能源体系构建与创新应用</w:t>
      </w:r>
    </w:p>
    <w:p w14:paraId="3A20E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1.风光氢储开发与应用：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大型风光基地建设、绿氢制备与示范应用、多能互补智慧微网、储能技术规模化应用等。</w:t>
      </w:r>
    </w:p>
    <w:p w14:paraId="4C2B3E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2.煤炭清洁高效利用与革命：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煤电节能降碳改造、碳捕集利用与封存试点、先进煤化工技术应用等。</w:t>
      </w:r>
    </w:p>
    <w:p w14:paraId="6633F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3.地热能、生物质能多元化利用：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地热供暖规模化、地热发电示范、生物质热电联产、生物天然气产业化等。</w:t>
      </w:r>
    </w:p>
    <w:p w14:paraId="1F02D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4.能源消费侧深度变革：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工业领域电气化替代、交通运输领域电动化/氢能化、公共机构能效提升、需求侧响应实践等。</w:t>
      </w:r>
    </w:p>
    <w:p w14:paraId="45B61C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方向三：绿色制造体系完善与标杆引领</w:t>
      </w:r>
    </w:p>
    <w:p w14:paraId="0F1D5C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1.环保绩效创A级企业：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钢铁、焦化、水泥、玻璃、垃圾发电等行业创A实践与成效等。</w:t>
      </w:r>
    </w:p>
    <w:p w14:paraId="613A5C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2.绿色工厂、绿色园区：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覆盖全生命周期的绿色设计、清洁生产、资源循环利用实践等。</w:t>
      </w:r>
    </w:p>
    <w:p w14:paraId="29C4F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3.绿色供应链管理企业：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核心企业带动上下游供应商实现绿色采购、绿色物流、绿色回收等。</w:t>
      </w:r>
    </w:p>
    <w:p w14:paraId="06688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4.绿色设计产品与绿色数据中心：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产品全生命周期环境影响最小化设计；数据中心液冷、余热回收、绿电利用等高能效实践等。</w:t>
      </w:r>
    </w:p>
    <w:p w14:paraId="5348D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shd w:val="clear" w:color="FFFFFF" w:fill="D9D9D9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5.资源高效循环利用实践：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工业固废高值化利用、再生资源回收体系建设、废水近零排放等。</w:t>
      </w:r>
    </w:p>
    <w:p w14:paraId="02A56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方向四：循环经济体系构建与资源高效利用</w:t>
      </w:r>
    </w:p>
    <w:p w14:paraId="5A34D2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1.“无废城市”建设创新实践：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生活垃圾分类与资源化利用模式、建筑垃圾综合利用、工业固废源头减量与协同处理等。</w:t>
      </w:r>
    </w:p>
    <w:p w14:paraId="7CF71A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2.大宗固体废弃物综合利用：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钢渣、煤矸石、粉煤灰、尾矿等规模化高值化利用技术与模式等。</w:t>
      </w:r>
    </w:p>
    <w:p w14:paraId="232B2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3.再生资源回收体系数字化转型：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“互联网+回收”、智能回收设施应用、线上线下融合模式等。</w:t>
      </w:r>
    </w:p>
    <w:p w14:paraId="6F3AE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4.再生材料规模化应用与闭环管理：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再生塑料、再生金属在汽车、包装等领域的应用；生产者责任延伸制度实践等。</w:t>
      </w:r>
    </w:p>
    <w:p w14:paraId="42E504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5.区域/园区层面循环化改造：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企业间/产业间物质能量梯级利用与循环链接等。</w:t>
      </w:r>
    </w:p>
    <w:p w14:paraId="2EFDF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Style w:val="4"/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方向五：</w:t>
      </w:r>
      <w:r>
        <w:rPr>
          <w:rStyle w:val="4"/>
          <w:rFonts w:hint="eastAsia" w:ascii="仿宋" w:hAnsi="仿宋" w:eastAsia="仿宋" w:cs="仿宋"/>
          <w:bCs/>
          <w:color w:val="auto"/>
          <w:sz w:val="28"/>
          <w:szCs w:val="28"/>
        </w:rPr>
        <w:t>绿色生活方式倡导与消费创新</w:t>
      </w:r>
    </w:p>
    <w:p w14:paraId="55B798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1.多元化低碳消费场景构建：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绿色商场、低碳景区、绿色餐饮、低碳交通枢纽、节能低碳社区等。</w:t>
      </w:r>
    </w:p>
    <w:p w14:paraId="68E7B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2.碳普惠制度与平台创新实践：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个人碳账户、绿色出行积分、低碳行为激励平台建设与运营等。</w:t>
      </w:r>
    </w:p>
    <w:p w14:paraId="361DA3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3.绿色产品服务推广与品牌培育：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节能家电补贴推广、共享经济新模式、可持续时尚品牌、绿色包装应用等。</w:t>
      </w:r>
    </w:p>
    <w:p w14:paraId="243079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4.绿色生活空间营造：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社区绿色空间微更新、垂直绿化/屋顶绿化应用、绿色建筑运维管理创新等。</w:t>
      </w:r>
    </w:p>
    <w:p w14:paraId="5C051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color w:val="auto"/>
          <w:sz w:val="28"/>
          <w:szCs w:val="28"/>
        </w:rPr>
        <w:t>5.反对过度包装与食品浪费：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创新简约包装设计应用、智慧食堂减少浪费系统、反食品浪费宣传教育有效模式等。</w:t>
      </w:r>
    </w:p>
    <w:p w14:paraId="7225E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征集要求</w:t>
      </w:r>
    </w:p>
    <w:p w14:paraId="6D388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1.须保证案例的真实性、创新性、实效性、持续性和典型性。</w:t>
      </w:r>
    </w:p>
    <w:p w14:paraId="7C965F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案例应做到主题明确、聚焦实践，具有较强的推广价值和借鉴意义。</w:t>
      </w:r>
    </w:p>
    <w:p w14:paraId="2F5829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所申报案例为已经实际实施的项目。</w:t>
      </w:r>
    </w:p>
    <w:p w14:paraId="6CA38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</w:t>
      </w:r>
      <w:r>
        <w:rPr>
          <w:rFonts w:ascii="仿宋" w:hAnsi="仿宋" w:eastAsia="仿宋" w:cs="仿宋"/>
          <w:color w:val="auto"/>
          <w:sz w:val="28"/>
          <w:szCs w:val="28"/>
        </w:rPr>
        <w:t>申报单位需按统一格式要求填写，文字简洁明了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ascii="仿宋" w:hAnsi="仿宋" w:eastAsia="仿宋" w:cs="仿宋"/>
          <w:color w:val="auto"/>
          <w:sz w:val="28"/>
          <w:szCs w:val="28"/>
        </w:rPr>
        <w:t>根据案例分类，认真填写《申报表》（可在附件中下载）。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案例情况叙述准确、逻辑性强、具有较强可读性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（尽可能结合图、表、视频等融媒体形式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。图片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为高清拍摄原图；视频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为非压缩原视频，分辨率为1920*1080，无字幕包装角标。所提供素材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确保不存在版权纠纷的logo或图标）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00BA9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5.案例填写为一例一填，如需申报多个案例，请复制本申报书进行填写。</w:t>
      </w:r>
    </w:p>
    <w:p w14:paraId="332D0A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</w:t>
      </w:r>
      <w:r>
        <w:rPr>
          <w:rFonts w:ascii="仿宋" w:hAnsi="仿宋" w:eastAsia="仿宋" w:cs="仿宋"/>
          <w:color w:val="auto"/>
          <w:sz w:val="28"/>
          <w:szCs w:val="28"/>
        </w:rPr>
        <w:t>所有参评案例资料务必在2025年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10</w:t>
      </w:r>
      <w:r>
        <w:rPr>
          <w:rFonts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15</w:t>
      </w:r>
      <w:r>
        <w:rPr>
          <w:rFonts w:ascii="仿宋" w:hAnsi="仿宋" w:eastAsia="仿宋" w:cs="仿宋"/>
          <w:color w:val="auto"/>
          <w:sz w:val="28"/>
          <w:szCs w:val="28"/>
        </w:rPr>
        <w:t>日</w:t>
      </w:r>
      <w:r>
        <w:rPr>
          <w:rFonts w:ascii="仿宋" w:hAnsi="仿宋" w:eastAsia="仿宋" w:cs="仿宋"/>
          <w:color w:val="auto"/>
          <w:sz w:val="28"/>
          <w:szCs w:val="28"/>
        </w:rPr>
        <w:t>前完成提交，逾期提交将视为自动放弃参评资格。</w:t>
      </w:r>
    </w:p>
    <w:p w14:paraId="273C8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.申报单位提交的案例须提前进行脱敏脱密处理，避免发生失泄密情况。案例内容一经提交即视为提交单位自愿分享经验。</w:t>
      </w:r>
    </w:p>
    <w:p w14:paraId="671A25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</w:t>
      </w:r>
      <w:r>
        <w:rPr>
          <w:rFonts w:ascii="仿宋" w:hAnsi="仿宋" w:eastAsia="仿宋" w:cs="仿宋"/>
          <w:color w:val="auto"/>
          <w:sz w:val="28"/>
          <w:szCs w:val="28"/>
        </w:rPr>
        <w:t>本次申报无需提交纸质材料，申报单位需以电子邮件方式提交申报材料及全部辅助文件（包括《申报表》盖章扫描版及其他支撑材料）。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邮件主题及</w:t>
      </w:r>
      <w:r>
        <w:rPr>
          <w:rFonts w:ascii="仿宋" w:hAnsi="仿宋" w:eastAsia="仿宋" w:cs="仿宋"/>
          <w:color w:val="auto"/>
          <w:sz w:val="28"/>
          <w:szCs w:val="28"/>
        </w:rPr>
        <w:t>申报文件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名称</w:t>
      </w:r>
      <w:r>
        <w:rPr>
          <w:rFonts w:ascii="仿宋" w:hAnsi="仿宋" w:eastAsia="仿宋" w:cs="仿宋"/>
          <w:color w:val="auto"/>
          <w:sz w:val="28"/>
          <w:szCs w:val="28"/>
        </w:rPr>
        <w:t>统一按照“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申报方向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—</w:t>
      </w:r>
      <w:r>
        <w:rPr>
          <w:rFonts w:ascii="仿宋" w:hAnsi="仿宋" w:eastAsia="仿宋" w:cs="仿宋"/>
          <w:color w:val="auto"/>
          <w:sz w:val="28"/>
          <w:szCs w:val="28"/>
        </w:rPr>
        <w:t>单位名称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：案例</w:t>
      </w:r>
      <w:r>
        <w:rPr>
          <w:rFonts w:ascii="仿宋" w:hAnsi="仿宋" w:eastAsia="仿宋" w:cs="仿宋"/>
          <w:color w:val="auto"/>
          <w:sz w:val="28"/>
          <w:szCs w:val="28"/>
        </w:rPr>
        <w:t>名称”的格式标注。</w:t>
      </w:r>
    </w:p>
    <w:p w14:paraId="64681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联系方式</w:t>
      </w:r>
    </w:p>
    <w:p w14:paraId="3A72C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案例征集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邮箱地址：hblsalzj@163.com</w:t>
      </w:r>
    </w:p>
    <w:p w14:paraId="487E3C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如需咨询请联系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郝苗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19801955558</w:t>
      </w:r>
    </w:p>
    <w:p w14:paraId="3FBB3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85C84"/>
    <w:rsid w:val="2C7A0008"/>
    <w:rsid w:val="33176F5B"/>
    <w:rsid w:val="40C85C84"/>
    <w:rsid w:val="49E07A41"/>
    <w:rsid w:val="6082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Body Text First Indent 21"/>
    <w:basedOn w:val="6"/>
    <w:qFormat/>
    <w:uiPriority w:val="0"/>
    <w:pPr>
      <w:ind w:left="0" w:firstLine="420"/>
    </w:pPr>
    <w:rPr>
      <w:rFonts w:ascii="仿宋_GB2312" w:cs="仿宋_GB2312"/>
    </w:rPr>
  </w:style>
  <w:style w:type="paragraph" w:customStyle="1" w:styleId="6">
    <w:name w:val="Body Text Indent1"/>
    <w:basedOn w:val="1"/>
    <w:qFormat/>
    <w:uiPriority w:val="0"/>
    <w:pPr>
      <w:spacing w:after="120"/>
      <w:ind w:left="20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1651</Words>
  <Characters>1723</Characters>
  <Lines>0</Lines>
  <Paragraphs>0</Paragraphs>
  <TotalTime>5</TotalTime>
  <ScaleCrop>false</ScaleCrop>
  <LinksUpToDate>false</LinksUpToDate>
  <CharactersWithSpaces>1726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2025-08-14T01:44:00Z</dcterms:created>
  <dc:creator>高LI</dc:creator>
  <cp:lastModifiedBy>高LI</cp:lastModifiedBy>
  <dcterms:modified xsi:type="dcterms:W3CDTF">2025-08-14T07:55:42Z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859DE8F576104A5BAC675AF80A2680D9_11</vt:lpwstr>
  </property>
  <property fmtid="{D5CDD505-2E9C-101B-9397-08002B2CF9AE}" pid="4" name="KSOTemplateDocerSaveRecord">
    <vt:lpwstr>eyJoZGlkIjoiNTM5YzhiMjQ5Y2YxOGQ5YjFlOGQ1YzE1Y2MxYmI1YTYiLCJ1c2VySWQiOiIyNDE2NjIyOTYifQ==</vt:lpwstr>
  </property>
</Properties>
</file>